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Cantionale [Kancjonale]</w:t>
      </w:r>
    </w:p>
    <w:p w14:paraId="00000002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Cantionale [Kancjonale] to księga, tak zwany kodeks, z drugiej połowy XVIII wieku. Ma numer inwentarzowy BPBerKr 86/RL. To skrót od informacji: Biblioteka Prowincji Bernardynów Kraków 86/ Rękopis Liturgiczny. Pochodzi on z Klasztoru OO. [ojców] Bernardynów</w:t>
      </w:r>
      <w:r>
        <w:rPr>
          <w:sz w:val="24"/>
          <w:szCs w:val="24"/>
        </w:rPr>
        <w:t xml:space="preserve"> w Kalwarii Zebrzydowskiej.</w:t>
      </w:r>
    </w:p>
    <w:p w14:paraId="00000003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to rękopis. Księga jest szeroka na 20 centymetrów, długa na 25. Jej skórzany grzbiet ma 5 centymetrów grubości. Księga została oprawiona w tekturę. Jej karty wykonano z papieru. Zawiera dziewięćdziesiąt sześć stron zapisany</w:t>
      </w:r>
      <w:r>
        <w:rPr>
          <w:sz w:val="24"/>
          <w:szCs w:val="24"/>
        </w:rPr>
        <w:t>ch po łacinie. Znajdują się tutaj nuty oraz teksty pieśni kościelnych. Nie znane jest nazwisko skryptora, czyli osoby przepisującej. Wiadomo, że całą księgę zapisano tą samą ręką.</w:t>
      </w:r>
    </w:p>
    <w:p w14:paraId="00000004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Księga ogólnie zachowała się w dobrym stanie. Oprawa jest przyniszczona, zwł</w:t>
      </w:r>
      <w:r>
        <w:rPr>
          <w:sz w:val="24"/>
          <w:szCs w:val="24"/>
        </w:rPr>
        <w:t>aszcza na brzegach. Ma brązowy kolor. Pokrywają ją jaśniejsze i ciemniejsze smugi. Gdzieniegdzie pojawiają się niebieskie plamy.</w:t>
      </w:r>
    </w:p>
    <w:p w14:paraId="00000005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Prawie całą księgę wypełniają strony z zapisem nutowym. Pierwszych i ostatnich parę stron, tak zwaną wyklejkę, pokrywa zapis na</w:t>
      </w:r>
      <w:r>
        <w:rPr>
          <w:sz w:val="24"/>
          <w:szCs w:val="24"/>
        </w:rPr>
        <w:t xml:space="preserve"> pięcioliniach. Nuty mają współcześnie używany, elipsowaty kształt.</w:t>
      </w:r>
    </w:p>
    <w:p w14:paraId="00000006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Pozostałych kilkadziesiąt stron zajmuje zapis tak zwany późnogotycki. Kwadratowe nuty zapisane są na czteroliniach. Pod nimi biegnie tekst pieśni. Linie zaznaczono czerwonym atramentem. Te</w:t>
      </w:r>
      <w:r>
        <w:rPr>
          <w:sz w:val="24"/>
          <w:szCs w:val="24"/>
        </w:rPr>
        <w:t>kst i nuty – czarnym. Początkowe słowa kolejnych części pieśni napisane są w wyjątkowo ozdobny sposób. Te litery są kilkakrotnie większe od pozostałych. Ich wysokość wynosi od dwóch do sześciu centymetrów. Litery te pisane są na czerwono, niebiesko lub cza</w:t>
      </w:r>
      <w:r>
        <w:rPr>
          <w:sz w:val="24"/>
          <w:szCs w:val="24"/>
        </w:rPr>
        <w:t>rno. Mają ozdobne zawijasy. To tak zwane iluminacje. Na niektórych stronach jest ich pięć, na innych - mniej. Całą piątą stronę wypełnia ozdobna kompozycja, tak zwana winieta. Ma ona postać ramy. Pustą przestrzeń w kształcie elipsy okala motyw złożony z li</w:t>
      </w:r>
      <w:r>
        <w:rPr>
          <w:sz w:val="24"/>
          <w:szCs w:val="24"/>
        </w:rPr>
        <w:t>stków, kwiatów oraz wygiętych w łagodne łuki linii. Te elementy są zielone, żółte, czerwone, fioletowe. Na górnej krawędzi ramy wyrysowano symbol franciszkański. Na polu w kształcie elipsy znajduje się czerwony krzyż i dwie skrzyżowane ręce. Prawa jest nag</w:t>
      </w:r>
      <w:r>
        <w:rPr>
          <w:sz w:val="24"/>
          <w:szCs w:val="24"/>
        </w:rPr>
        <w:t xml:space="preserve">a. Lewą okrywa brązowy rękaw habitu zakonu franciszkanów. W środku obu dłoni czerwieni się rana. Na dole ramy, pośród łagodnych linii znajduje się motyw z kart otwartej księgi. Zapisano je </w:t>
      </w:r>
      <w:r>
        <w:rPr>
          <w:sz w:val="24"/>
          <w:szCs w:val="24"/>
        </w:rPr>
        <w:lastRenderedPageBreak/>
        <w:t>czarnymi nutami na pięcioliniach. W ozdobnej ramie winiety, na pust</w:t>
      </w:r>
      <w:r>
        <w:rPr>
          <w:sz w:val="24"/>
          <w:szCs w:val="24"/>
        </w:rPr>
        <w:t>ym obszarze otoczonym przez nią, prawdopodobnie miał się znaleźć tytuł księgi.</w:t>
      </w:r>
    </w:p>
    <w:p w14:paraId="00000007" w14:textId="250442A1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Kodeks zawiera następujące pieśni:</w:t>
      </w:r>
    </w:p>
    <w:p w14:paraId="00000008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pięcioliniach - „Patrem omnipotentem”</w:t>
      </w:r>
    </w:p>
    <w:p w14:paraId="00000009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czteroliniach:</w:t>
      </w:r>
    </w:p>
    <w:p w14:paraId="0000000A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Antyfona: Oramus Domine conditor [Oramus Domine Konditor] (na Wniebowstąpienie)</w:t>
      </w:r>
    </w:p>
    <w:p w14:paraId="0000000B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</w:t>
      </w:r>
      <w:r>
        <w:rPr>
          <w:sz w:val="24"/>
          <w:szCs w:val="24"/>
        </w:rPr>
        <w:t>bi Laus tibi gloria</w:t>
      </w:r>
    </w:p>
    <w:p w14:paraId="0000000C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Antyfona Lumen ad revelationem gentium [lumen ad rewelacjonem gencjum]</w:t>
      </w:r>
    </w:p>
    <w:p w14:paraId="0000000D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Antyfona: Exsurge Domine adjuva noc et libera nos [Ekssurge Domine adjuwa nok at libera nos]</w:t>
      </w:r>
    </w:p>
    <w:p w14:paraId="0000000E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Śpiewy niedzieli palmowej – Pueri hebreorum, Cum appropinquaret [Pueri h</w:t>
      </w:r>
      <w:r>
        <w:rPr>
          <w:sz w:val="24"/>
          <w:szCs w:val="24"/>
        </w:rPr>
        <w:t>ebreorum, Kum apropinkfaret]</w:t>
      </w:r>
    </w:p>
    <w:p w14:paraId="0000000F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Lamentacje</w:t>
      </w:r>
    </w:p>
    <w:p w14:paraId="00000010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„Mandatum”</w:t>
      </w:r>
    </w:p>
    <w:p w14:paraId="00000011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Antyfona Ecce lignum crucis [Ekce lignum krucis] (adoracja Krzyża w Wielki Piątek)</w:t>
      </w:r>
    </w:p>
    <w:p w14:paraId="00000012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Śpiewy Wielkiej Soboty – Gloria tibi Trinitas, Cum Rex gloriae [Kum Reks glorie], Homo quidam fecit cenam magnam [Homo kfi</w:t>
      </w:r>
      <w:r>
        <w:rPr>
          <w:sz w:val="24"/>
          <w:szCs w:val="24"/>
        </w:rPr>
        <w:t>dam fecit cenam magnam].</w:t>
      </w:r>
    </w:p>
    <w:p w14:paraId="00000013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Oficjum za zmarłych – Libera me</w:t>
      </w:r>
    </w:p>
    <w:p w14:paraId="00000014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Msza za zmarłych</w:t>
      </w:r>
    </w:p>
    <w:p w14:paraId="00000015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oficjum za zmarłych – Complaceat Domine, Sana Domine animam meam, Sitivit animam meam [Komplacet Domine, Sana Domine animam meam, Sitvit aniamam meam].</w:t>
      </w:r>
    </w:p>
    <w:p w14:paraId="00000016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Antyfona Melchisedech Rex sa</w:t>
      </w:r>
      <w:r>
        <w:rPr>
          <w:sz w:val="24"/>
          <w:szCs w:val="24"/>
        </w:rPr>
        <w:t>lem typicum [Melchizedech Reks salem typikum] (na Boże Ciało)</w:t>
      </w:r>
    </w:p>
    <w:p w14:paraId="00000017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Paternae consortes exhibes [Paterne konsortes ekshibes]</w:t>
      </w:r>
    </w:p>
    <w:p w14:paraId="00000018" w14:textId="77777777" w:rsidR="00936EF9" w:rsidRDefault="00E574F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Kyrie, Gloria, Credo – na pięcioliniach</w:t>
      </w:r>
    </w:p>
    <w:p w14:paraId="00000019" w14:textId="77777777" w:rsidR="00936EF9" w:rsidRDefault="00936EF9"/>
    <w:sectPr w:rsidR="00936E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F9"/>
    <w:rsid w:val="00936EF9"/>
    <w:rsid w:val="00E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608E"/>
  <w15:docId w15:val="{905314BC-F86F-41BE-8844-FC4823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Franik</cp:lastModifiedBy>
  <cp:revision>3</cp:revision>
  <dcterms:created xsi:type="dcterms:W3CDTF">2022-02-08T17:08:00Z</dcterms:created>
  <dcterms:modified xsi:type="dcterms:W3CDTF">2022-02-08T17:24:00Z</dcterms:modified>
</cp:coreProperties>
</file>